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5D8A" w14:textId="69407E7C" w:rsidR="00753D93" w:rsidRDefault="0052319C">
      <w:pPr>
        <w:spacing w:line="240" w:lineRule="auto"/>
        <w:jc w:val="center"/>
        <w:rPr>
          <w:rFonts w:ascii="Poppins" w:eastAsia="Poppins" w:hAnsi="Poppins" w:cs="Poppins"/>
          <w:b/>
          <w:sz w:val="24"/>
          <w:szCs w:val="24"/>
        </w:rPr>
      </w:pPr>
      <w:r>
        <w:rPr>
          <w:rFonts w:ascii="Poppins" w:eastAsia="Poppins" w:hAnsi="Poppins" w:cs="Poppins"/>
          <w:b/>
          <w:sz w:val="24"/>
          <w:szCs w:val="24"/>
        </w:rPr>
        <w:t>Scope and Sequence of Professional Learning Engagement</w:t>
      </w:r>
      <w:r>
        <w:rPr>
          <w:noProof/>
        </w:rPr>
        <w:drawing>
          <wp:anchor distT="114300" distB="114300" distL="114300" distR="114300" simplePos="0" relativeHeight="251658240" behindDoc="0" locked="0" layoutInCell="1" hidden="0" allowOverlap="1" wp14:anchorId="4E61BCFD" wp14:editId="169C1FF0">
            <wp:simplePos x="0" y="0"/>
            <wp:positionH relativeFrom="column">
              <wp:posOffset>-266699</wp:posOffset>
            </wp:positionH>
            <wp:positionV relativeFrom="paragraph">
              <wp:posOffset>114300</wp:posOffset>
            </wp:positionV>
            <wp:extent cx="2919413" cy="659404"/>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19413" cy="659404"/>
                    </a:xfrm>
                    <a:prstGeom prst="rect">
                      <a:avLst/>
                    </a:prstGeom>
                    <a:ln/>
                  </pic:spPr>
                </pic:pic>
              </a:graphicData>
            </a:graphic>
          </wp:anchor>
        </w:drawing>
      </w:r>
    </w:p>
    <w:p w14:paraId="71BE6CEB" w14:textId="77777777" w:rsidR="00753D93" w:rsidRDefault="00753D93">
      <w:pPr>
        <w:spacing w:line="240" w:lineRule="auto"/>
        <w:jc w:val="center"/>
        <w:rPr>
          <w:rFonts w:ascii="Poppins" w:eastAsia="Poppins" w:hAnsi="Poppins" w:cs="Poppins"/>
          <w:b/>
          <w:sz w:val="24"/>
          <w:szCs w:val="24"/>
        </w:rPr>
      </w:pPr>
    </w:p>
    <w:p w14:paraId="316561E4" w14:textId="77777777" w:rsidR="00753D93" w:rsidRDefault="0052319C">
      <w:pPr>
        <w:spacing w:line="240" w:lineRule="auto"/>
        <w:rPr>
          <w:rFonts w:ascii="Poppins" w:eastAsia="Poppins" w:hAnsi="Poppins" w:cs="Poppins"/>
          <w:sz w:val="20"/>
          <w:szCs w:val="20"/>
        </w:rPr>
      </w:pPr>
      <w:r>
        <w:rPr>
          <w:rFonts w:ascii="Poppins" w:eastAsia="Poppins" w:hAnsi="Poppins" w:cs="Poppins"/>
          <w:sz w:val="20"/>
          <w:szCs w:val="20"/>
        </w:rPr>
        <w:t>In this document, you will provide information on a sample scope and sequence of a professional learning engagement. This engagement should represent work done with a past client.</w:t>
      </w:r>
    </w:p>
    <w:p w14:paraId="19693EAC" w14:textId="77777777" w:rsidR="00753D93" w:rsidRDefault="00753D93">
      <w:pPr>
        <w:spacing w:line="240" w:lineRule="auto"/>
        <w:rPr>
          <w:rFonts w:ascii="Poppins" w:eastAsia="Poppins" w:hAnsi="Poppins" w:cs="Poppins"/>
          <w:i/>
          <w:sz w:val="20"/>
          <w:szCs w:val="20"/>
        </w:rPr>
      </w:pPr>
    </w:p>
    <w:p w14:paraId="759613F7" w14:textId="77777777" w:rsidR="00753D93" w:rsidRDefault="0052319C">
      <w:pPr>
        <w:spacing w:line="240" w:lineRule="auto"/>
        <w:rPr>
          <w:rFonts w:ascii="Poppins" w:eastAsia="Poppins" w:hAnsi="Poppins" w:cs="Poppins"/>
          <w:sz w:val="20"/>
          <w:szCs w:val="20"/>
        </w:rPr>
      </w:pPr>
      <w:r>
        <w:rPr>
          <w:rFonts w:ascii="Poppins" w:eastAsia="Poppins" w:hAnsi="Poppins" w:cs="Poppins"/>
          <w:i/>
          <w:sz w:val="20"/>
          <w:szCs w:val="20"/>
        </w:rPr>
        <w:t xml:space="preserve">For example, if you had a </w:t>
      </w:r>
      <w:proofErr w:type="gramStart"/>
      <w:r>
        <w:rPr>
          <w:rFonts w:ascii="Poppins" w:eastAsia="Poppins" w:hAnsi="Poppins" w:cs="Poppins"/>
          <w:i/>
          <w:sz w:val="20"/>
          <w:szCs w:val="20"/>
        </w:rPr>
        <w:t>two year</w:t>
      </w:r>
      <w:proofErr w:type="gramEnd"/>
      <w:r>
        <w:rPr>
          <w:rFonts w:ascii="Poppins" w:eastAsia="Poppins" w:hAnsi="Poppins" w:cs="Poppins"/>
          <w:i/>
          <w:sz w:val="20"/>
          <w:szCs w:val="20"/>
        </w:rPr>
        <w:t xml:space="preserve"> engagement that included Adoption, Initial Implementation, and Ongoing Support for Teachers with Applewhite School District, you would complete a separate template for each one of those types of professional learning, and include the scope (what you covered) and sequence (timeline)</w:t>
      </w:r>
      <w:r>
        <w:rPr>
          <w:rFonts w:ascii="Poppins" w:eastAsia="Poppins" w:hAnsi="Poppins" w:cs="Poppins"/>
          <w:sz w:val="20"/>
          <w:szCs w:val="20"/>
        </w:rPr>
        <w:t>.</w:t>
      </w:r>
    </w:p>
    <w:p w14:paraId="1988CF83" w14:textId="77777777" w:rsidR="00753D93" w:rsidRDefault="00753D93">
      <w:pPr>
        <w:spacing w:line="240" w:lineRule="auto"/>
        <w:rPr>
          <w:rFonts w:ascii="Poppins" w:eastAsia="Poppins" w:hAnsi="Poppins" w:cs="Poppins"/>
          <w:sz w:val="20"/>
          <w:szCs w:val="20"/>
        </w:rPr>
      </w:pPr>
    </w:p>
    <w:p w14:paraId="308D93E8" w14:textId="77777777" w:rsidR="00753D93" w:rsidRDefault="0052319C">
      <w:pPr>
        <w:spacing w:line="240" w:lineRule="auto"/>
        <w:jc w:val="center"/>
        <w:rPr>
          <w:rFonts w:ascii="Poppins" w:eastAsia="Poppins" w:hAnsi="Poppins" w:cs="Poppins"/>
          <w:sz w:val="20"/>
          <w:szCs w:val="20"/>
        </w:rPr>
      </w:pPr>
      <w:r>
        <w:rPr>
          <w:rFonts w:ascii="Poppins SemiBold" w:eastAsia="Poppins SemiBold" w:hAnsi="Poppins SemiBold" w:cs="Poppins SemiBold"/>
          <w:color w:val="FF0000"/>
          <w:sz w:val="20"/>
          <w:szCs w:val="20"/>
        </w:rPr>
        <w:t>This overview represents the services for one client of the professional learning partner.</w:t>
      </w:r>
    </w:p>
    <w:tbl>
      <w:tblPr>
        <w:tblStyle w:val="a"/>
        <w:tblW w:w="12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3855"/>
        <w:gridCol w:w="1830"/>
        <w:gridCol w:w="3615"/>
      </w:tblGrid>
      <w:tr w:rsidR="00753D93" w14:paraId="565AABF8" w14:textId="77777777">
        <w:trPr>
          <w:trHeight w:val="440"/>
        </w:trPr>
        <w:tc>
          <w:tcPr>
            <w:tcW w:w="3630" w:type="dxa"/>
            <w:shd w:val="clear" w:color="auto" w:fill="D9D9D9"/>
            <w:tcMar>
              <w:top w:w="100" w:type="dxa"/>
              <w:left w:w="100" w:type="dxa"/>
              <w:bottom w:w="100" w:type="dxa"/>
              <w:right w:w="100" w:type="dxa"/>
            </w:tcMar>
          </w:tcPr>
          <w:p w14:paraId="426FF16A" w14:textId="77777777" w:rsidR="00753D93" w:rsidRDefault="0052319C">
            <w:pPr>
              <w:widowControl w:val="0"/>
              <w:spacing w:line="240" w:lineRule="auto"/>
              <w:rPr>
                <w:rFonts w:ascii="Poppins" w:eastAsia="Poppins" w:hAnsi="Poppins" w:cs="Poppins"/>
                <w:sz w:val="20"/>
                <w:szCs w:val="20"/>
              </w:rPr>
            </w:pPr>
            <w:r>
              <w:rPr>
                <w:rFonts w:ascii="Poppins" w:eastAsia="Poppins" w:hAnsi="Poppins" w:cs="Poppins"/>
                <w:b/>
                <w:sz w:val="20"/>
                <w:szCs w:val="20"/>
              </w:rPr>
              <w:t xml:space="preserve">Curriculum or Content Area </w:t>
            </w:r>
          </w:p>
        </w:tc>
        <w:tc>
          <w:tcPr>
            <w:tcW w:w="9300" w:type="dxa"/>
            <w:gridSpan w:val="3"/>
            <w:shd w:val="clear" w:color="auto" w:fill="auto"/>
            <w:tcMar>
              <w:top w:w="100" w:type="dxa"/>
              <w:left w:w="100" w:type="dxa"/>
              <w:bottom w:w="100" w:type="dxa"/>
              <w:right w:w="100" w:type="dxa"/>
            </w:tcMar>
          </w:tcPr>
          <w:p w14:paraId="5B8D49F2" w14:textId="4BD0D230" w:rsidR="00753D93" w:rsidRDefault="007438C8">
            <w:pPr>
              <w:widowControl w:val="0"/>
              <w:spacing w:line="240" w:lineRule="auto"/>
              <w:rPr>
                <w:rFonts w:ascii="Poppins" w:eastAsia="Poppins" w:hAnsi="Poppins" w:cs="Poppins"/>
                <w:sz w:val="20"/>
                <w:szCs w:val="20"/>
              </w:rPr>
            </w:pPr>
            <w:r w:rsidRPr="007438C8">
              <w:rPr>
                <w:rFonts w:ascii="Poppins" w:eastAsia="Poppins" w:hAnsi="Poppins" w:cs="Poppins"/>
                <w:sz w:val="20"/>
                <w:szCs w:val="20"/>
              </w:rPr>
              <w:t>Providing implementation support and professional learning for Eureka Math (2015)</w:t>
            </w:r>
          </w:p>
        </w:tc>
      </w:tr>
      <w:tr w:rsidR="00753D93" w14:paraId="17B64FA7" w14:textId="77777777">
        <w:trPr>
          <w:trHeight w:val="750"/>
        </w:trPr>
        <w:tc>
          <w:tcPr>
            <w:tcW w:w="3630" w:type="dxa"/>
            <w:shd w:val="clear" w:color="auto" w:fill="D9D9D9"/>
            <w:tcMar>
              <w:top w:w="100" w:type="dxa"/>
              <w:left w:w="100" w:type="dxa"/>
              <w:bottom w:w="100" w:type="dxa"/>
              <w:right w:w="100" w:type="dxa"/>
            </w:tcMar>
          </w:tcPr>
          <w:p w14:paraId="6F8427E0" w14:textId="77777777" w:rsidR="00753D93" w:rsidRDefault="0052319C">
            <w:pPr>
              <w:widowControl w:val="0"/>
              <w:spacing w:line="240" w:lineRule="auto"/>
              <w:rPr>
                <w:rFonts w:ascii="Poppins" w:eastAsia="Poppins" w:hAnsi="Poppins" w:cs="Poppins"/>
                <w:b/>
                <w:sz w:val="20"/>
                <w:szCs w:val="20"/>
              </w:rPr>
            </w:pPr>
            <w:r>
              <w:rPr>
                <w:rFonts w:ascii="Poppins" w:eastAsia="Poppins" w:hAnsi="Poppins" w:cs="Poppins"/>
                <w:b/>
                <w:sz w:val="20"/>
                <w:szCs w:val="20"/>
              </w:rPr>
              <w:t xml:space="preserve">Type of Professional Learning </w:t>
            </w:r>
          </w:p>
          <w:p w14:paraId="3BFAB3F6" w14:textId="77777777" w:rsidR="00753D93" w:rsidRDefault="00753D93">
            <w:pPr>
              <w:widowControl w:val="0"/>
              <w:spacing w:line="240" w:lineRule="auto"/>
              <w:rPr>
                <w:rFonts w:ascii="Poppins" w:eastAsia="Poppins" w:hAnsi="Poppins" w:cs="Poppins"/>
                <w:sz w:val="20"/>
                <w:szCs w:val="20"/>
              </w:rPr>
            </w:pPr>
          </w:p>
        </w:tc>
        <w:tc>
          <w:tcPr>
            <w:tcW w:w="9300" w:type="dxa"/>
            <w:gridSpan w:val="3"/>
            <w:tcBorders>
              <w:right w:val="single" w:sz="8" w:space="0" w:color="FFFFFF"/>
            </w:tcBorders>
            <w:shd w:val="clear" w:color="auto" w:fill="auto"/>
            <w:tcMar>
              <w:top w:w="100" w:type="dxa"/>
              <w:left w:w="100" w:type="dxa"/>
              <w:bottom w:w="100" w:type="dxa"/>
              <w:right w:w="100" w:type="dxa"/>
            </w:tcMar>
          </w:tcPr>
          <w:p w14:paraId="1BD6BA50" w14:textId="2499133E" w:rsidR="00753D93" w:rsidRDefault="0052319C">
            <w:pPr>
              <w:widowControl w:val="0"/>
              <w:spacing w:line="240" w:lineRule="auto"/>
              <w:rPr>
                <w:rFonts w:ascii="Poppins" w:eastAsia="Poppins" w:hAnsi="Poppins" w:cs="Poppins"/>
                <w:sz w:val="20"/>
                <w:szCs w:val="20"/>
              </w:rPr>
            </w:pPr>
            <w:r>
              <w:rPr>
                <w:rFonts w:ascii="Poppins" w:eastAsia="Poppins" w:hAnsi="Poppins" w:cs="Poppins"/>
                <w:sz w:val="20"/>
                <w:szCs w:val="20"/>
              </w:rPr>
              <w:t>Ongoing for Teachers</w:t>
            </w:r>
          </w:p>
        </w:tc>
      </w:tr>
      <w:tr w:rsidR="00753D93" w14:paraId="1F4A23D6" w14:textId="77777777">
        <w:trPr>
          <w:trHeight w:val="400"/>
        </w:trPr>
        <w:tc>
          <w:tcPr>
            <w:tcW w:w="3630" w:type="dxa"/>
            <w:shd w:val="clear" w:color="auto" w:fill="D9D9D9"/>
            <w:tcMar>
              <w:top w:w="100" w:type="dxa"/>
              <w:left w:w="100" w:type="dxa"/>
              <w:bottom w:w="100" w:type="dxa"/>
              <w:right w:w="100" w:type="dxa"/>
            </w:tcMar>
          </w:tcPr>
          <w:p w14:paraId="481A832C" w14:textId="77777777" w:rsidR="00753D93" w:rsidRDefault="0052319C">
            <w:pPr>
              <w:widowControl w:val="0"/>
              <w:spacing w:line="240" w:lineRule="auto"/>
              <w:rPr>
                <w:rFonts w:ascii="Poppins" w:eastAsia="Poppins" w:hAnsi="Poppins" w:cs="Poppins"/>
                <w:b/>
                <w:sz w:val="20"/>
                <w:szCs w:val="20"/>
              </w:rPr>
            </w:pPr>
            <w:r>
              <w:rPr>
                <w:rFonts w:ascii="Poppins" w:eastAsia="Poppins" w:hAnsi="Poppins" w:cs="Poppins"/>
                <w:b/>
                <w:sz w:val="20"/>
                <w:szCs w:val="20"/>
              </w:rPr>
              <w:t>Total Cost Range</w:t>
            </w:r>
            <w:r>
              <w:rPr>
                <w:rFonts w:ascii="Poppins" w:eastAsia="Poppins" w:hAnsi="Poppins" w:cs="Poppins"/>
                <w:b/>
                <w:sz w:val="20"/>
                <w:szCs w:val="20"/>
                <w:vertAlign w:val="superscript"/>
              </w:rPr>
              <w:footnoteReference w:id="1"/>
            </w:r>
          </w:p>
        </w:tc>
        <w:tc>
          <w:tcPr>
            <w:tcW w:w="3855" w:type="dxa"/>
            <w:tcBorders>
              <w:right w:val="single" w:sz="8" w:space="0" w:color="FFFFFF"/>
            </w:tcBorders>
            <w:shd w:val="clear" w:color="auto" w:fill="auto"/>
            <w:tcMar>
              <w:top w:w="100" w:type="dxa"/>
              <w:left w:w="100" w:type="dxa"/>
              <w:bottom w:w="100" w:type="dxa"/>
              <w:right w:w="100" w:type="dxa"/>
            </w:tcMar>
          </w:tcPr>
          <w:p w14:paraId="3C271018" w14:textId="77777777" w:rsidR="00753D93" w:rsidRDefault="0052319C">
            <w:pPr>
              <w:widowControl w:val="0"/>
              <w:numPr>
                <w:ilvl w:val="0"/>
                <w:numId w:val="1"/>
              </w:numPr>
              <w:spacing w:line="240" w:lineRule="auto"/>
              <w:rPr>
                <w:rFonts w:ascii="Poppins" w:eastAsia="Poppins" w:hAnsi="Poppins" w:cs="Poppins"/>
                <w:sz w:val="20"/>
                <w:szCs w:val="20"/>
              </w:rPr>
            </w:pPr>
            <w:r>
              <w:rPr>
                <w:rFonts w:ascii="Poppins" w:eastAsia="Poppins" w:hAnsi="Poppins" w:cs="Poppins"/>
                <w:sz w:val="20"/>
                <w:szCs w:val="20"/>
              </w:rPr>
              <w:t>Less than $50,000</w:t>
            </w:r>
          </w:p>
          <w:p w14:paraId="41A12BC8" w14:textId="77777777" w:rsidR="00753D93" w:rsidRPr="007438C8" w:rsidRDefault="0052319C">
            <w:pPr>
              <w:widowControl w:val="0"/>
              <w:numPr>
                <w:ilvl w:val="0"/>
                <w:numId w:val="1"/>
              </w:numPr>
              <w:spacing w:line="240" w:lineRule="auto"/>
              <w:rPr>
                <w:rFonts w:ascii="Poppins" w:eastAsia="Poppins" w:hAnsi="Poppins" w:cs="Poppins"/>
                <w:sz w:val="20"/>
                <w:szCs w:val="20"/>
                <w:highlight w:val="yellow"/>
              </w:rPr>
            </w:pPr>
            <w:r w:rsidRPr="007438C8">
              <w:rPr>
                <w:rFonts w:ascii="Poppins" w:eastAsia="Poppins" w:hAnsi="Poppins" w:cs="Poppins"/>
                <w:sz w:val="20"/>
                <w:szCs w:val="20"/>
                <w:highlight w:val="yellow"/>
              </w:rPr>
              <w:t>$50,000 - $100,000</w:t>
            </w:r>
          </w:p>
          <w:p w14:paraId="5F1960EF" w14:textId="77777777" w:rsidR="00753D93" w:rsidRDefault="0052319C">
            <w:pPr>
              <w:widowControl w:val="0"/>
              <w:numPr>
                <w:ilvl w:val="0"/>
                <w:numId w:val="1"/>
              </w:numPr>
              <w:spacing w:line="240" w:lineRule="auto"/>
              <w:rPr>
                <w:rFonts w:ascii="Poppins" w:eastAsia="Poppins" w:hAnsi="Poppins" w:cs="Poppins"/>
                <w:sz w:val="20"/>
                <w:szCs w:val="20"/>
              </w:rPr>
            </w:pPr>
            <w:r>
              <w:rPr>
                <w:rFonts w:ascii="Poppins" w:eastAsia="Poppins" w:hAnsi="Poppins" w:cs="Poppins"/>
                <w:sz w:val="20"/>
                <w:szCs w:val="20"/>
              </w:rPr>
              <w:t>$100,001 - $500,000</w:t>
            </w:r>
          </w:p>
        </w:tc>
        <w:tc>
          <w:tcPr>
            <w:tcW w:w="1830" w:type="dxa"/>
            <w:tcBorders>
              <w:left w:val="single" w:sz="8" w:space="0" w:color="FFFFFF"/>
            </w:tcBorders>
            <w:shd w:val="clear" w:color="auto" w:fill="auto"/>
            <w:tcMar>
              <w:top w:w="100" w:type="dxa"/>
              <w:left w:w="100" w:type="dxa"/>
              <w:bottom w:w="100" w:type="dxa"/>
              <w:right w:w="100" w:type="dxa"/>
            </w:tcMar>
          </w:tcPr>
          <w:p w14:paraId="6BA8A363" w14:textId="77777777" w:rsidR="00753D93" w:rsidRDefault="00753D93">
            <w:pPr>
              <w:widowControl w:val="0"/>
              <w:spacing w:line="240" w:lineRule="auto"/>
              <w:ind w:left="720" w:hanging="360"/>
              <w:rPr>
                <w:rFonts w:ascii="Poppins" w:eastAsia="Poppins" w:hAnsi="Poppins" w:cs="Poppins"/>
                <w:sz w:val="20"/>
                <w:szCs w:val="20"/>
              </w:rPr>
            </w:pPr>
          </w:p>
        </w:tc>
        <w:tc>
          <w:tcPr>
            <w:tcW w:w="3615" w:type="dxa"/>
            <w:tcBorders>
              <w:left w:val="single" w:sz="8" w:space="0" w:color="FFFFFF"/>
            </w:tcBorders>
            <w:shd w:val="clear" w:color="auto" w:fill="auto"/>
            <w:tcMar>
              <w:top w:w="100" w:type="dxa"/>
              <w:left w:w="100" w:type="dxa"/>
              <w:bottom w:w="100" w:type="dxa"/>
              <w:right w:w="100" w:type="dxa"/>
            </w:tcMar>
          </w:tcPr>
          <w:p w14:paraId="3F9102C1" w14:textId="77777777" w:rsidR="00753D93" w:rsidRDefault="0052319C">
            <w:pPr>
              <w:widowControl w:val="0"/>
              <w:numPr>
                <w:ilvl w:val="0"/>
                <w:numId w:val="1"/>
              </w:numPr>
              <w:spacing w:line="240" w:lineRule="auto"/>
              <w:rPr>
                <w:rFonts w:ascii="Poppins" w:eastAsia="Poppins" w:hAnsi="Poppins" w:cs="Poppins"/>
                <w:sz w:val="20"/>
                <w:szCs w:val="20"/>
              </w:rPr>
            </w:pPr>
            <w:r>
              <w:rPr>
                <w:rFonts w:ascii="Poppins" w:eastAsia="Poppins" w:hAnsi="Poppins" w:cs="Poppins"/>
                <w:sz w:val="20"/>
                <w:szCs w:val="20"/>
              </w:rPr>
              <w:t>$500,001 - $1,000,000</w:t>
            </w:r>
          </w:p>
          <w:p w14:paraId="39236E45" w14:textId="77777777" w:rsidR="00753D93" w:rsidRDefault="0052319C">
            <w:pPr>
              <w:widowControl w:val="0"/>
              <w:numPr>
                <w:ilvl w:val="0"/>
                <w:numId w:val="1"/>
              </w:numPr>
              <w:spacing w:line="240" w:lineRule="auto"/>
              <w:rPr>
                <w:rFonts w:ascii="Poppins" w:eastAsia="Poppins" w:hAnsi="Poppins" w:cs="Poppins"/>
                <w:sz w:val="20"/>
                <w:szCs w:val="20"/>
              </w:rPr>
            </w:pPr>
            <w:r>
              <w:rPr>
                <w:rFonts w:ascii="Poppins" w:eastAsia="Poppins" w:hAnsi="Poppins" w:cs="Poppins"/>
                <w:sz w:val="20"/>
                <w:szCs w:val="20"/>
              </w:rPr>
              <w:t>$1,000,000+</w:t>
            </w:r>
            <w:r>
              <w:rPr>
                <w:rFonts w:ascii="Poppins" w:eastAsia="Poppins" w:hAnsi="Poppins" w:cs="Poppins"/>
                <w:sz w:val="20"/>
                <w:szCs w:val="20"/>
              </w:rPr>
              <w:tab/>
            </w:r>
            <w:r>
              <w:rPr>
                <w:rFonts w:ascii="Poppins" w:eastAsia="Poppins" w:hAnsi="Poppins" w:cs="Poppins"/>
                <w:sz w:val="20"/>
                <w:szCs w:val="20"/>
              </w:rPr>
              <w:tab/>
            </w:r>
            <w:r>
              <w:rPr>
                <w:rFonts w:ascii="Poppins" w:eastAsia="Poppins" w:hAnsi="Poppins" w:cs="Poppins"/>
                <w:sz w:val="20"/>
                <w:szCs w:val="20"/>
              </w:rPr>
              <w:tab/>
            </w:r>
            <w:r>
              <w:rPr>
                <w:rFonts w:ascii="Poppins" w:eastAsia="Poppins" w:hAnsi="Poppins" w:cs="Poppins"/>
                <w:sz w:val="20"/>
                <w:szCs w:val="20"/>
              </w:rPr>
              <w:tab/>
            </w:r>
          </w:p>
        </w:tc>
      </w:tr>
      <w:tr w:rsidR="00753D93" w14:paraId="4B0465D1" w14:textId="77777777">
        <w:trPr>
          <w:trHeight w:val="400"/>
        </w:trPr>
        <w:tc>
          <w:tcPr>
            <w:tcW w:w="3630" w:type="dxa"/>
            <w:shd w:val="clear" w:color="auto" w:fill="D9D9D9"/>
            <w:tcMar>
              <w:top w:w="100" w:type="dxa"/>
              <w:left w:w="100" w:type="dxa"/>
              <w:bottom w:w="100" w:type="dxa"/>
              <w:right w:w="100" w:type="dxa"/>
            </w:tcMar>
          </w:tcPr>
          <w:p w14:paraId="7A4D8941" w14:textId="77777777" w:rsidR="00753D93" w:rsidRDefault="0052319C">
            <w:pPr>
              <w:widowControl w:val="0"/>
              <w:spacing w:line="240" w:lineRule="auto"/>
              <w:rPr>
                <w:rFonts w:ascii="Poppins" w:eastAsia="Poppins" w:hAnsi="Poppins" w:cs="Poppins"/>
                <w:b/>
                <w:sz w:val="20"/>
                <w:szCs w:val="20"/>
              </w:rPr>
            </w:pPr>
            <w:r>
              <w:rPr>
                <w:rFonts w:ascii="Poppins" w:eastAsia="Poppins" w:hAnsi="Poppins" w:cs="Poppins"/>
                <w:b/>
                <w:sz w:val="20"/>
                <w:szCs w:val="20"/>
              </w:rPr>
              <w:t>District Context</w:t>
            </w:r>
          </w:p>
        </w:tc>
        <w:tc>
          <w:tcPr>
            <w:tcW w:w="9300" w:type="dxa"/>
            <w:gridSpan w:val="3"/>
            <w:tcBorders>
              <w:right w:val="single" w:sz="8" w:space="0" w:color="FFFFFF"/>
            </w:tcBorders>
            <w:shd w:val="clear" w:color="auto" w:fill="auto"/>
            <w:tcMar>
              <w:top w:w="100" w:type="dxa"/>
              <w:left w:w="100" w:type="dxa"/>
              <w:bottom w:w="100" w:type="dxa"/>
              <w:right w:w="100" w:type="dxa"/>
            </w:tcMar>
          </w:tcPr>
          <w:p w14:paraId="0B976B84" w14:textId="27A54F3A" w:rsidR="00753D93" w:rsidRDefault="007438C8">
            <w:pPr>
              <w:widowControl w:val="0"/>
              <w:spacing w:line="240" w:lineRule="auto"/>
              <w:ind w:left="720" w:hanging="360"/>
              <w:rPr>
                <w:rFonts w:ascii="Poppins" w:eastAsia="Poppins" w:hAnsi="Poppins" w:cs="Poppins"/>
                <w:sz w:val="20"/>
                <w:szCs w:val="20"/>
              </w:rPr>
            </w:pPr>
            <w:r>
              <w:rPr>
                <w:rFonts w:ascii="Poppins" w:eastAsia="Poppins" w:hAnsi="Poppins" w:cs="Poppins"/>
                <w:sz w:val="20"/>
                <w:szCs w:val="20"/>
              </w:rPr>
              <w:t>Traditional suburban district, serving a population of over 60% economically disadvantaged students.</w:t>
            </w:r>
          </w:p>
        </w:tc>
      </w:tr>
    </w:tbl>
    <w:p w14:paraId="02C2EBFB" w14:textId="77777777" w:rsidR="00753D93" w:rsidRDefault="00753D93">
      <w:pPr>
        <w:spacing w:line="240" w:lineRule="auto"/>
        <w:rPr>
          <w:rFonts w:ascii="Poppins" w:eastAsia="Poppins" w:hAnsi="Poppins" w:cs="Poppins"/>
          <w:sz w:val="20"/>
          <w:szCs w:val="20"/>
        </w:rPr>
      </w:pPr>
    </w:p>
    <w:p w14:paraId="0AE3A2A0" w14:textId="77777777" w:rsidR="00753D93" w:rsidRDefault="00753D93">
      <w:pPr>
        <w:spacing w:line="240" w:lineRule="auto"/>
        <w:rPr>
          <w:rFonts w:ascii="Poppins" w:eastAsia="Poppins" w:hAnsi="Poppins" w:cs="Poppins"/>
          <w:sz w:val="20"/>
          <w:szCs w:val="20"/>
        </w:rPr>
      </w:pPr>
    </w:p>
    <w:p w14:paraId="59E28E92" w14:textId="216D2388" w:rsidR="00753D93" w:rsidRDefault="00753D93">
      <w:pPr>
        <w:spacing w:line="240" w:lineRule="auto"/>
        <w:rPr>
          <w:rFonts w:ascii="Poppins" w:eastAsia="Poppins" w:hAnsi="Poppins" w:cs="Poppins"/>
          <w:b/>
          <w:sz w:val="20"/>
          <w:szCs w:val="20"/>
          <w:highlight w:val="yellow"/>
        </w:rPr>
      </w:pPr>
    </w:p>
    <w:tbl>
      <w:tblPr>
        <w:tblStyle w:val="a0"/>
        <w:tblW w:w="13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580"/>
        <w:gridCol w:w="4410"/>
        <w:gridCol w:w="4350"/>
      </w:tblGrid>
      <w:tr w:rsidR="00753D93" w14:paraId="224C723C" w14:textId="77777777">
        <w:tc>
          <w:tcPr>
            <w:tcW w:w="1770" w:type="dxa"/>
            <w:shd w:val="clear" w:color="auto" w:fill="D9D9D9"/>
            <w:tcMar>
              <w:top w:w="100" w:type="dxa"/>
              <w:left w:w="100" w:type="dxa"/>
              <w:bottom w:w="100" w:type="dxa"/>
              <w:right w:w="100" w:type="dxa"/>
            </w:tcMar>
          </w:tcPr>
          <w:p w14:paraId="63845B95" w14:textId="77777777" w:rsidR="00753D93" w:rsidRDefault="0052319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b/>
                <w:sz w:val="20"/>
                <w:szCs w:val="20"/>
              </w:rPr>
              <w:t xml:space="preserve">Timing </w:t>
            </w:r>
            <w:r>
              <w:rPr>
                <w:rFonts w:ascii="Poppins" w:eastAsia="Poppins" w:hAnsi="Poppins" w:cs="Poppins"/>
                <w:sz w:val="20"/>
                <w:szCs w:val="20"/>
              </w:rPr>
              <w:t>(you may choose to use specific days/months or frequency)</w:t>
            </w:r>
          </w:p>
        </w:tc>
        <w:tc>
          <w:tcPr>
            <w:tcW w:w="2580" w:type="dxa"/>
            <w:shd w:val="clear" w:color="auto" w:fill="D9D9D9"/>
            <w:tcMar>
              <w:top w:w="100" w:type="dxa"/>
              <w:left w:w="100" w:type="dxa"/>
              <w:bottom w:w="100" w:type="dxa"/>
              <w:right w:w="100" w:type="dxa"/>
            </w:tcMar>
          </w:tcPr>
          <w:p w14:paraId="67BA4AE7" w14:textId="77777777" w:rsidR="00753D93" w:rsidRDefault="0052319C">
            <w:pPr>
              <w:widowControl w:val="0"/>
              <w:pBdr>
                <w:top w:val="nil"/>
                <w:left w:val="nil"/>
                <w:bottom w:val="nil"/>
                <w:right w:val="nil"/>
                <w:between w:val="nil"/>
              </w:pBdr>
              <w:spacing w:line="240" w:lineRule="auto"/>
              <w:jc w:val="center"/>
              <w:rPr>
                <w:rFonts w:ascii="Poppins" w:eastAsia="Poppins" w:hAnsi="Poppins" w:cs="Poppins"/>
                <w:b/>
                <w:sz w:val="20"/>
                <w:szCs w:val="20"/>
              </w:rPr>
            </w:pPr>
            <w:r>
              <w:rPr>
                <w:rFonts w:ascii="Poppins" w:eastAsia="Poppins" w:hAnsi="Poppins" w:cs="Poppins"/>
                <w:b/>
                <w:sz w:val="20"/>
                <w:szCs w:val="20"/>
              </w:rPr>
              <w:t>Participants</w:t>
            </w:r>
          </w:p>
        </w:tc>
        <w:tc>
          <w:tcPr>
            <w:tcW w:w="4410" w:type="dxa"/>
            <w:shd w:val="clear" w:color="auto" w:fill="D9D9D9"/>
            <w:tcMar>
              <w:top w:w="100" w:type="dxa"/>
              <w:left w:w="100" w:type="dxa"/>
              <w:bottom w:w="100" w:type="dxa"/>
              <w:right w:w="100" w:type="dxa"/>
            </w:tcMar>
          </w:tcPr>
          <w:p w14:paraId="70D86FB5" w14:textId="77777777" w:rsidR="00753D93" w:rsidRDefault="0052319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b/>
                <w:sz w:val="20"/>
                <w:szCs w:val="20"/>
              </w:rPr>
              <w:t xml:space="preserve">Name of PL </w:t>
            </w:r>
            <w:r>
              <w:rPr>
                <w:rFonts w:ascii="Poppins" w:eastAsia="Poppins" w:hAnsi="Poppins" w:cs="Poppins"/>
                <w:sz w:val="20"/>
                <w:szCs w:val="20"/>
              </w:rPr>
              <w:t xml:space="preserve">(either specific workshop title, coaching, </w:t>
            </w:r>
            <w:proofErr w:type="spellStart"/>
            <w:r>
              <w:rPr>
                <w:rFonts w:ascii="Poppins" w:eastAsia="Poppins" w:hAnsi="Poppins" w:cs="Poppins"/>
                <w:sz w:val="20"/>
                <w:szCs w:val="20"/>
              </w:rPr>
              <w:t>etc</w:t>
            </w:r>
            <w:proofErr w:type="spellEnd"/>
            <w:r>
              <w:rPr>
                <w:rFonts w:ascii="Poppins" w:eastAsia="Poppins" w:hAnsi="Poppins" w:cs="Poppins"/>
                <w:sz w:val="20"/>
                <w:szCs w:val="20"/>
              </w:rPr>
              <w:t>)</w:t>
            </w:r>
            <w:r>
              <w:rPr>
                <w:rFonts w:ascii="Poppins" w:eastAsia="Poppins" w:hAnsi="Poppins" w:cs="Poppins"/>
                <w:b/>
                <w:sz w:val="20"/>
                <w:szCs w:val="20"/>
              </w:rPr>
              <w:t xml:space="preserve"> and </w:t>
            </w:r>
            <w:proofErr w:type="gramStart"/>
            <w:r>
              <w:rPr>
                <w:rFonts w:ascii="Poppins" w:eastAsia="Poppins" w:hAnsi="Poppins" w:cs="Poppins"/>
                <w:b/>
                <w:sz w:val="20"/>
                <w:szCs w:val="20"/>
              </w:rPr>
              <w:t>format</w:t>
            </w:r>
            <w:r>
              <w:rPr>
                <w:rFonts w:ascii="Poppins" w:eastAsia="Poppins" w:hAnsi="Poppins" w:cs="Poppins"/>
                <w:sz w:val="20"/>
                <w:szCs w:val="20"/>
              </w:rPr>
              <w:t>( Virtual</w:t>
            </w:r>
            <w:proofErr w:type="gramEnd"/>
            <w:r>
              <w:rPr>
                <w:rFonts w:ascii="Poppins" w:eastAsia="Poppins" w:hAnsi="Poppins" w:cs="Poppins"/>
                <w:sz w:val="20"/>
                <w:szCs w:val="20"/>
              </w:rPr>
              <w:t>, in-person, hybrid)</w:t>
            </w:r>
          </w:p>
        </w:tc>
        <w:tc>
          <w:tcPr>
            <w:tcW w:w="4350" w:type="dxa"/>
            <w:shd w:val="clear" w:color="auto" w:fill="D9D9D9"/>
            <w:tcMar>
              <w:top w:w="100" w:type="dxa"/>
              <w:left w:w="100" w:type="dxa"/>
              <w:bottom w:w="100" w:type="dxa"/>
              <w:right w:w="100" w:type="dxa"/>
            </w:tcMar>
          </w:tcPr>
          <w:p w14:paraId="3A427342" w14:textId="77777777" w:rsidR="00753D93" w:rsidRDefault="0052319C">
            <w:pPr>
              <w:widowControl w:val="0"/>
              <w:pBdr>
                <w:top w:val="nil"/>
                <w:left w:val="nil"/>
                <w:bottom w:val="nil"/>
                <w:right w:val="nil"/>
                <w:between w:val="nil"/>
              </w:pBdr>
              <w:spacing w:line="240" w:lineRule="auto"/>
              <w:jc w:val="center"/>
              <w:rPr>
                <w:rFonts w:ascii="Poppins" w:eastAsia="Poppins" w:hAnsi="Poppins" w:cs="Poppins"/>
                <w:b/>
                <w:sz w:val="20"/>
                <w:szCs w:val="20"/>
              </w:rPr>
            </w:pPr>
            <w:r>
              <w:rPr>
                <w:rFonts w:ascii="Poppins" w:eastAsia="Poppins" w:hAnsi="Poppins" w:cs="Poppins"/>
                <w:b/>
                <w:sz w:val="20"/>
                <w:szCs w:val="20"/>
              </w:rPr>
              <w:t>Description</w:t>
            </w:r>
          </w:p>
        </w:tc>
      </w:tr>
      <w:tr w:rsidR="00753D93" w14:paraId="71840C9E" w14:textId="77777777">
        <w:tc>
          <w:tcPr>
            <w:tcW w:w="1770" w:type="dxa"/>
            <w:shd w:val="clear" w:color="auto" w:fill="auto"/>
            <w:tcMar>
              <w:top w:w="100" w:type="dxa"/>
              <w:left w:w="100" w:type="dxa"/>
              <w:bottom w:w="100" w:type="dxa"/>
              <w:right w:w="100" w:type="dxa"/>
            </w:tcMar>
          </w:tcPr>
          <w:p w14:paraId="69C737AB" w14:textId="3C7D0AA1" w:rsidR="00753D93" w:rsidRDefault="0052319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August</w:t>
            </w:r>
            <w:r w:rsidR="00523AAC">
              <w:rPr>
                <w:rFonts w:ascii="Poppins" w:eastAsia="Poppins" w:hAnsi="Poppins" w:cs="Poppins"/>
                <w:sz w:val="20"/>
                <w:szCs w:val="20"/>
              </w:rPr>
              <w:t xml:space="preserve"> (initial planning sessions and setting up monthly check-ins with leaders)</w:t>
            </w:r>
          </w:p>
        </w:tc>
        <w:tc>
          <w:tcPr>
            <w:tcW w:w="2580" w:type="dxa"/>
            <w:shd w:val="clear" w:color="auto" w:fill="auto"/>
            <w:tcMar>
              <w:top w:w="100" w:type="dxa"/>
              <w:left w:w="100" w:type="dxa"/>
              <w:bottom w:w="100" w:type="dxa"/>
              <w:right w:w="100" w:type="dxa"/>
            </w:tcMar>
          </w:tcPr>
          <w:p w14:paraId="5BC46965" w14:textId="002FB1E3" w:rsidR="00753D93" w:rsidRDefault="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I</w:t>
            </w:r>
            <w:r w:rsidR="0052319C">
              <w:rPr>
                <w:rFonts w:ascii="Poppins" w:eastAsia="Poppins" w:hAnsi="Poppins" w:cs="Poppins"/>
                <w:sz w:val="20"/>
                <w:szCs w:val="20"/>
              </w:rPr>
              <w:t>nstructional leaders</w:t>
            </w:r>
            <w:r w:rsidR="00A86307">
              <w:rPr>
                <w:rFonts w:ascii="Poppins" w:eastAsia="Poppins" w:hAnsi="Poppins" w:cs="Poppins"/>
                <w:sz w:val="20"/>
                <w:szCs w:val="20"/>
              </w:rPr>
              <w:t xml:space="preserve"> and district leaders</w:t>
            </w:r>
          </w:p>
        </w:tc>
        <w:tc>
          <w:tcPr>
            <w:tcW w:w="4410" w:type="dxa"/>
            <w:shd w:val="clear" w:color="auto" w:fill="auto"/>
            <w:tcMar>
              <w:top w:w="100" w:type="dxa"/>
              <w:left w:w="100" w:type="dxa"/>
              <w:bottom w:w="100" w:type="dxa"/>
              <w:right w:w="100" w:type="dxa"/>
            </w:tcMar>
          </w:tcPr>
          <w:p w14:paraId="1B9A15AC" w14:textId="77777777" w:rsidR="00523AAC" w:rsidRDefault="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Needs assessment</w:t>
            </w:r>
          </w:p>
          <w:p w14:paraId="478BB64E" w14:textId="77777777" w:rsidR="00523AAC" w:rsidRDefault="00A86307">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 xml:space="preserve">Strategic planning session </w:t>
            </w:r>
          </w:p>
          <w:p w14:paraId="03B995B3" w14:textId="4B9015A9" w:rsidR="00753D93" w:rsidRDefault="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I</w:t>
            </w:r>
            <w:r w:rsidR="00A86307">
              <w:rPr>
                <w:rFonts w:ascii="Poppins" w:eastAsia="Poppins" w:hAnsi="Poppins" w:cs="Poppins"/>
                <w:sz w:val="20"/>
                <w:szCs w:val="20"/>
              </w:rPr>
              <w:t>nstructional mapping</w:t>
            </w:r>
          </w:p>
        </w:tc>
        <w:tc>
          <w:tcPr>
            <w:tcW w:w="4350" w:type="dxa"/>
            <w:shd w:val="clear" w:color="auto" w:fill="auto"/>
            <w:tcMar>
              <w:top w:w="100" w:type="dxa"/>
              <w:left w:w="100" w:type="dxa"/>
              <w:bottom w:w="100" w:type="dxa"/>
              <w:right w:w="100" w:type="dxa"/>
            </w:tcMar>
          </w:tcPr>
          <w:p w14:paraId="01B0AA5B" w14:textId="742BB75F" w:rsidR="00753D93" w:rsidRDefault="00A86307">
            <w:pPr>
              <w:widowControl w:val="0"/>
              <w:pBdr>
                <w:top w:val="nil"/>
                <w:left w:val="nil"/>
                <w:bottom w:val="nil"/>
                <w:right w:val="nil"/>
                <w:between w:val="nil"/>
              </w:pBdr>
              <w:spacing w:line="240" w:lineRule="auto"/>
              <w:rPr>
                <w:rFonts w:ascii="Poppins" w:eastAsia="Poppins" w:hAnsi="Poppins" w:cs="Poppins"/>
                <w:sz w:val="20"/>
                <w:szCs w:val="20"/>
              </w:rPr>
            </w:pPr>
            <w:r w:rsidRPr="00A86307">
              <w:rPr>
                <w:rFonts w:ascii="Poppins" w:eastAsia="Poppins" w:hAnsi="Poppins" w:cs="Poppins"/>
                <w:sz w:val="20"/>
                <w:szCs w:val="20"/>
              </w:rPr>
              <w:t xml:space="preserve">To determine these goals and continually monitor progress, we engaged in close collaboration with the district involved, including identifying areas of need for teacher learning. This collaboration involved initial needs assessments and consultations to identify specific focus areas requiring support. Through dialogue with district leaders and educators, we crafted tailored plans to address their unique challenges and objectives. </w:t>
            </w:r>
          </w:p>
        </w:tc>
      </w:tr>
      <w:tr w:rsidR="00753D93" w14:paraId="73676570" w14:textId="77777777">
        <w:tc>
          <w:tcPr>
            <w:tcW w:w="1770" w:type="dxa"/>
            <w:shd w:val="clear" w:color="auto" w:fill="auto"/>
            <w:tcMar>
              <w:top w:w="100" w:type="dxa"/>
              <w:left w:w="100" w:type="dxa"/>
              <w:bottom w:w="100" w:type="dxa"/>
              <w:right w:w="100" w:type="dxa"/>
            </w:tcMar>
          </w:tcPr>
          <w:p w14:paraId="71E50601" w14:textId="77777777" w:rsidR="00753D93" w:rsidRDefault="0052319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Monthly</w:t>
            </w:r>
          </w:p>
        </w:tc>
        <w:tc>
          <w:tcPr>
            <w:tcW w:w="2580" w:type="dxa"/>
            <w:shd w:val="clear" w:color="auto" w:fill="auto"/>
            <w:tcMar>
              <w:top w:w="100" w:type="dxa"/>
              <w:left w:w="100" w:type="dxa"/>
              <w:bottom w:w="100" w:type="dxa"/>
              <w:right w:w="100" w:type="dxa"/>
            </w:tcMar>
          </w:tcPr>
          <w:p w14:paraId="7A2447D3" w14:textId="7AABB397" w:rsidR="00753D93" w:rsidRDefault="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District/school leaders</w:t>
            </w:r>
          </w:p>
          <w:p w14:paraId="5CE46668" w14:textId="77777777" w:rsidR="00753D93" w:rsidRDefault="00753D93">
            <w:pPr>
              <w:widowControl w:val="0"/>
              <w:pBdr>
                <w:top w:val="nil"/>
                <w:left w:val="nil"/>
                <w:bottom w:val="nil"/>
                <w:right w:val="nil"/>
                <w:between w:val="nil"/>
              </w:pBdr>
              <w:spacing w:line="240" w:lineRule="auto"/>
              <w:rPr>
                <w:rFonts w:ascii="Poppins" w:eastAsia="Poppins" w:hAnsi="Poppins" w:cs="Poppins"/>
                <w:sz w:val="20"/>
                <w:szCs w:val="20"/>
              </w:rPr>
            </w:pPr>
          </w:p>
        </w:tc>
        <w:tc>
          <w:tcPr>
            <w:tcW w:w="4410" w:type="dxa"/>
            <w:shd w:val="clear" w:color="auto" w:fill="auto"/>
            <w:tcMar>
              <w:top w:w="100" w:type="dxa"/>
              <w:left w:w="100" w:type="dxa"/>
              <w:bottom w:w="100" w:type="dxa"/>
              <w:right w:w="100" w:type="dxa"/>
            </w:tcMar>
          </w:tcPr>
          <w:p w14:paraId="41398E41" w14:textId="477BB8D9" w:rsidR="00753D93" w:rsidRDefault="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Check-in meetings and feedback structures</w:t>
            </w:r>
          </w:p>
        </w:tc>
        <w:tc>
          <w:tcPr>
            <w:tcW w:w="4350" w:type="dxa"/>
            <w:shd w:val="clear" w:color="auto" w:fill="auto"/>
            <w:tcMar>
              <w:top w:w="100" w:type="dxa"/>
              <w:left w:w="100" w:type="dxa"/>
              <w:bottom w:w="100" w:type="dxa"/>
              <w:right w:w="100" w:type="dxa"/>
            </w:tcMar>
          </w:tcPr>
          <w:p w14:paraId="581331B9" w14:textId="4C26BADC" w:rsidR="00753D93" w:rsidRDefault="00523AAC">
            <w:pPr>
              <w:widowControl w:val="0"/>
              <w:pBdr>
                <w:top w:val="nil"/>
                <w:left w:val="nil"/>
                <w:bottom w:val="nil"/>
                <w:right w:val="nil"/>
                <w:between w:val="nil"/>
              </w:pBdr>
              <w:spacing w:line="240" w:lineRule="auto"/>
              <w:rPr>
                <w:rFonts w:ascii="Poppins" w:eastAsia="Poppins" w:hAnsi="Poppins" w:cs="Poppins"/>
                <w:sz w:val="20"/>
                <w:szCs w:val="20"/>
              </w:rPr>
            </w:pPr>
            <w:r w:rsidRPr="00A86307">
              <w:rPr>
                <w:rFonts w:ascii="Poppins" w:eastAsia="Poppins" w:hAnsi="Poppins" w:cs="Poppins"/>
                <w:sz w:val="20"/>
                <w:szCs w:val="20"/>
              </w:rPr>
              <w:t xml:space="preserve">Throughout the engagement, we employed various monitoring tools and feedback mechanisms to gauge the effectiveness of our support initiatives, including regular check-ins with school leaders, student data analysis, and feedback surveys to ensure alignment with district goals and desired outcomes. </w:t>
            </w:r>
            <w:r w:rsidRPr="00A86307">
              <w:rPr>
                <w:rFonts w:ascii="Poppins" w:eastAsia="Poppins" w:hAnsi="Poppins" w:cs="Poppins"/>
                <w:sz w:val="20"/>
                <w:szCs w:val="20"/>
              </w:rPr>
              <w:lastRenderedPageBreak/>
              <w:t>By maintaining open communication and flexibility, we ensured that our efforts remained responsive to evolving needs and fostered meaningful progress towards our shared educational objectives.</w:t>
            </w:r>
          </w:p>
        </w:tc>
      </w:tr>
      <w:tr w:rsidR="00523AAC" w14:paraId="6255FA6C" w14:textId="77777777">
        <w:tc>
          <w:tcPr>
            <w:tcW w:w="1770" w:type="dxa"/>
            <w:shd w:val="clear" w:color="auto" w:fill="auto"/>
            <w:tcMar>
              <w:top w:w="100" w:type="dxa"/>
              <w:left w:w="100" w:type="dxa"/>
              <w:bottom w:w="100" w:type="dxa"/>
              <w:right w:w="100" w:type="dxa"/>
            </w:tcMar>
          </w:tcPr>
          <w:p w14:paraId="68605641" w14:textId="7CCD7E41"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lastRenderedPageBreak/>
              <w:t>Quarterly</w:t>
            </w:r>
          </w:p>
        </w:tc>
        <w:tc>
          <w:tcPr>
            <w:tcW w:w="2580" w:type="dxa"/>
            <w:shd w:val="clear" w:color="auto" w:fill="auto"/>
            <w:tcMar>
              <w:top w:w="100" w:type="dxa"/>
              <w:left w:w="100" w:type="dxa"/>
              <w:bottom w:w="100" w:type="dxa"/>
              <w:right w:w="100" w:type="dxa"/>
            </w:tcMar>
          </w:tcPr>
          <w:p w14:paraId="52D9DD4F" w14:textId="1D1FB28B"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School leaders and teachers</w:t>
            </w:r>
          </w:p>
        </w:tc>
        <w:tc>
          <w:tcPr>
            <w:tcW w:w="4410" w:type="dxa"/>
            <w:shd w:val="clear" w:color="auto" w:fill="auto"/>
            <w:tcMar>
              <w:top w:w="100" w:type="dxa"/>
              <w:left w:w="100" w:type="dxa"/>
              <w:bottom w:w="100" w:type="dxa"/>
              <w:right w:w="100" w:type="dxa"/>
            </w:tcMar>
          </w:tcPr>
          <w:p w14:paraId="0B0C0B3A" w14:textId="355FB5CD" w:rsidR="00523AAC" w:rsidRDefault="00523AAC" w:rsidP="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Professional learning sessions</w:t>
            </w:r>
          </w:p>
        </w:tc>
        <w:tc>
          <w:tcPr>
            <w:tcW w:w="4350" w:type="dxa"/>
            <w:shd w:val="clear" w:color="auto" w:fill="auto"/>
            <w:tcMar>
              <w:top w:w="100" w:type="dxa"/>
              <w:left w:w="100" w:type="dxa"/>
              <w:bottom w:w="100" w:type="dxa"/>
              <w:right w:w="100" w:type="dxa"/>
            </w:tcMar>
          </w:tcPr>
          <w:p w14:paraId="68175648" w14:textId="3885943B"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 xml:space="preserve">Typically, </w:t>
            </w:r>
            <w:r w:rsidRPr="00523AAC">
              <w:rPr>
                <w:rFonts w:ascii="Poppins" w:eastAsia="Poppins" w:hAnsi="Poppins" w:cs="Poppins"/>
                <w:sz w:val="20"/>
                <w:szCs w:val="20"/>
              </w:rPr>
              <w:t>teachers and coaches had opportunities to participate in workshops on a quarterly basis</w:t>
            </w:r>
            <w:r>
              <w:rPr>
                <w:rFonts w:ascii="Poppins" w:eastAsia="Poppins" w:hAnsi="Poppins" w:cs="Poppins"/>
                <w:sz w:val="20"/>
                <w:szCs w:val="20"/>
              </w:rPr>
              <w:t>. M</w:t>
            </w:r>
            <w:r w:rsidRPr="00523AAC">
              <w:rPr>
                <w:rFonts w:ascii="Poppins" w:eastAsia="Poppins" w:hAnsi="Poppins" w:cs="Poppins"/>
                <w:sz w:val="20"/>
                <w:szCs w:val="20"/>
              </w:rPr>
              <w:t>GT use</w:t>
            </w:r>
            <w:r>
              <w:rPr>
                <w:rFonts w:ascii="Poppins" w:eastAsia="Poppins" w:hAnsi="Poppins" w:cs="Poppins"/>
                <w:sz w:val="20"/>
                <w:szCs w:val="20"/>
              </w:rPr>
              <w:t>d</w:t>
            </w:r>
            <w:r w:rsidRPr="00523AAC">
              <w:rPr>
                <w:rFonts w:ascii="Poppins" w:eastAsia="Poppins" w:hAnsi="Poppins" w:cs="Poppins"/>
                <w:sz w:val="20"/>
                <w:szCs w:val="20"/>
              </w:rPr>
              <w:t xml:space="preserve"> district-specific preferences and goals to tailor our professional learning according to our partners</w:t>
            </w:r>
            <w:r>
              <w:rPr>
                <w:rFonts w:ascii="Poppins" w:eastAsia="Poppins" w:hAnsi="Poppins" w:cs="Poppins"/>
                <w:sz w:val="20"/>
                <w:szCs w:val="20"/>
              </w:rPr>
              <w:t>’</w:t>
            </w:r>
            <w:r w:rsidRPr="00523AAC">
              <w:rPr>
                <w:rFonts w:ascii="Poppins" w:eastAsia="Poppins" w:hAnsi="Poppins" w:cs="Poppins"/>
                <w:sz w:val="20"/>
                <w:szCs w:val="20"/>
              </w:rPr>
              <w:t xml:space="preserve"> needs. This professional learning series was specifically customized address the </w:t>
            </w:r>
            <w:proofErr w:type="gramStart"/>
            <w:r w:rsidRPr="00523AAC">
              <w:rPr>
                <w:rFonts w:ascii="Poppins" w:eastAsia="Poppins" w:hAnsi="Poppins" w:cs="Poppins"/>
                <w:sz w:val="20"/>
                <w:szCs w:val="20"/>
              </w:rPr>
              <w:t>units</w:t>
            </w:r>
            <w:proofErr w:type="gramEnd"/>
            <w:r w:rsidRPr="00523AAC">
              <w:rPr>
                <w:rFonts w:ascii="Poppins" w:eastAsia="Poppins" w:hAnsi="Poppins" w:cs="Poppins"/>
                <w:sz w:val="20"/>
                <w:szCs w:val="20"/>
              </w:rPr>
              <w:t xml:space="preserve"> teachers were using at this point in the school year, and provide examples of differentiation for the students within this district. </w:t>
            </w:r>
          </w:p>
        </w:tc>
      </w:tr>
      <w:tr w:rsidR="00523AAC" w14:paraId="0295C2F8" w14:textId="77777777">
        <w:tc>
          <w:tcPr>
            <w:tcW w:w="1770" w:type="dxa"/>
            <w:shd w:val="clear" w:color="auto" w:fill="auto"/>
            <w:tcMar>
              <w:top w:w="100" w:type="dxa"/>
              <w:left w:w="100" w:type="dxa"/>
              <w:bottom w:w="100" w:type="dxa"/>
              <w:right w:w="100" w:type="dxa"/>
            </w:tcMar>
          </w:tcPr>
          <w:p w14:paraId="2D993968" w14:textId="03DEB8F6"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Monthly</w:t>
            </w:r>
          </w:p>
        </w:tc>
        <w:tc>
          <w:tcPr>
            <w:tcW w:w="2580" w:type="dxa"/>
            <w:shd w:val="clear" w:color="auto" w:fill="auto"/>
            <w:tcMar>
              <w:top w:w="100" w:type="dxa"/>
              <w:left w:w="100" w:type="dxa"/>
              <w:bottom w:w="100" w:type="dxa"/>
              <w:right w:w="100" w:type="dxa"/>
            </w:tcMar>
          </w:tcPr>
          <w:p w14:paraId="126A750F" w14:textId="6045D71F"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Teachers</w:t>
            </w:r>
          </w:p>
          <w:p w14:paraId="6A3C15EF" w14:textId="77777777"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p>
        </w:tc>
        <w:tc>
          <w:tcPr>
            <w:tcW w:w="4410" w:type="dxa"/>
            <w:shd w:val="clear" w:color="auto" w:fill="auto"/>
            <w:tcMar>
              <w:top w:w="100" w:type="dxa"/>
              <w:left w:w="100" w:type="dxa"/>
              <w:bottom w:w="100" w:type="dxa"/>
              <w:right w:w="100" w:type="dxa"/>
            </w:tcMar>
          </w:tcPr>
          <w:p w14:paraId="1E2252C9" w14:textId="19198310" w:rsidR="00523AAC" w:rsidRDefault="00523AAC" w:rsidP="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1:1 coaching</w:t>
            </w:r>
          </w:p>
        </w:tc>
        <w:tc>
          <w:tcPr>
            <w:tcW w:w="4350" w:type="dxa"/>
            <w:shd w:val="clear" w:color="auto" w:fill="auto"/>
            <w:tcMar>
              <w:top w:w="100" w:type="dxa"/>
              <w:left w:w="100" w:type="dxa"/>
              <w:bottom w:w="100" w:type="dxa"/>
              <w:right w:w="100" w:type="dxa"/>
            </w:tcMar>
          </w:tcPr>
          <w:p w14:paraId="25CE9E25" w14:textId="05B85B12"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sidRPr="00523AAC">
              <w:rPr>
                <w:rFonts w:ascii="Poppins" w:eastAsia="Poppins" w:hAnsi="Poppins" w:cs="Poppins"/>
                <w:sz w:val="20"/>
                <w:szCs w:val="20"/>
              </w:rPr>
              <w:t>Coaching sessions were often scheduled monthly, with coaches providing personalized guidance and feedback to educators implementing features of the HQIM and engaging in collaborative planning and lesson internalization.</w:t>
            </w:r>
            <w:r>
              <w:rPr>
                <w:rFonts w:ascii="Poppins" w:eastAsia="Poppins" w:hAnsi="Poppins" w:cs="Poppins"/>
                <w:sz w:val="20"/>
                <w:szCs w:val="20"/>
              </w:rPr>
              <w:t xml:space="preserve"> MGT further customized coaching</w:t>
            </w:r>
            <w:r w:rsidRPr="00523AAC">
              <w:rPr>
                <w:rFonts w:ascii="Poppins" w:eastAsia="Poppins" w:hAnsi="Poppins" w:cs="Poppins"/>
                <w:sz w:val="20"/>
                <w:szCs w:val="20"/>
              </w:rPr>
              <w:t xml:space="preserve"> through a combination of responsive </w:t>
            </w:r>
            <w:r w:rsidR="00B54115">
              <w:rPr>
                <w:rFonts w:ascii="Poppins" w:eastAsia="Poppins" w:hAnsi="Poppins" w:cs="Poppins"/>
                <w:sz w:val="20"/>
                <w:szCs w:val="20"/>
              </w:rPr>
              <w:t>goal setting</w:t>
            </w:r>
            <w:r w:rsidRPr="00523AAC">
              <w:rPr>
                <w:rFonts w:ascii="Poppins" w:eastAsia="Poppins" w:hAnsi="Poppins" w:cs="Poppins"/>
                <w:sz w:val="20"/>
                <w:szCs w:val="20"/>
              </w:rPr>
              <w:t xml:space="preserve">, individualized coaching, and flexible </w:t>
            </w:r>
            <w:r w:rsidRPr="00523AAC">
              <w:rPr>
                <w:rFonts w:ascii="Poppins" w:eastAsia="Poppins" w:hAnsi="Poppins" w:cs="Poppins"/>
                <w:sz w:val="20"/>
                <w:szCs w:val="20"/>
              </w:rPr>
              <w:lastRenderedPageBreak/>
              <w:t>delivery formats. Our team facilitators specifically planned to support teachers to implement the Eureka Math curriculum using embedded differentiated instruction tools in the curriculum, practicing student data analysis tied to district planning protocols, and embodying adult learning theory to attend to educators’ learning needs</w:t>
            </w:r>
            <w:r>
              <w:rPr>
                <w:rFonts w:ascii="Poppins" w:eastAsia="Poppins" w:hAnsi="Poppins" w:cs="Poppins"/>
                <w:sz w:val="20"/>
                <w:szCs w:val="20"/>
              </w:rPr>
              <w:t xml:space="preserve">. </w:t>
            </w:r>
          </w:p>
        </w:tc>
      </w:tr>
      <w:tr w:rsidR="00523AAC" w14:paraId="561C21C9" w14:textId="77777777">
        <w:tc>
          <w:tcPr>
            <w:tcW w:w="1770" w:type="dxa"/>
            <w:shd w:val="clear" w:color="auto" w:fill="auto"/>
            <w:tcMar>
              <w:top w:w="100" w:type="dxa"/>
              <w:left w:w="100" w:type="dxa"/>
              <w:bottom w:w="100" w:type="dxa"/>
              <w:right w:w="100" w:type="dxa"/>
            </w:tcMar>
          </w:tcPr>
          <w:p w14:paraId="60AB74B8" w14:textId="77777777"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lastRenderedPageBreak/>
              <w:t>Quarterly</w:t>
            </w:r>
          </w:p>
        </w:tc>
        <w:tc>
          <w:tcPr>
            <w:tcW w:w="2580" w:type="dxa"/>
            <w:shd w:val="clear" w:color="auto" w:fill="auto"/>
            <w:tcMar>
              <w:top w:w="100" w:type="dxa"/>
              <w:left w:w="100" w:type="dxa"/>
              <w:bottom w:w="100" w:type="dxa"/>
              <w:right w:w="100" w:type="dxa"/>
            </w:tcMar>
          </w:tcPr>
          <w:p w14:paraId="2CA99A93" w14:textId="0B6573E9" w:rsidR="00523AAC" w:rsidRDefault="00523AAC"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 xml:space="preserve">School leaders, and teachers </w:t>
            </w:r>
          </w:p>
        </w:tc>
        <w:tc>
          <w:tcPr>
            <w:tcW w:w="4410" w:type="dxa"/>
            <w:shd w:val="clear" w:color="auto" w:fill="auto"/>
            <w:tcMar>
              <w:top w:w="100" w:type="dxa"/>
              <w:left w:w="100" w:type="dxa"/>
              <w:bottom w:w="100" w:type="dxa"/>
              <w:right w:w="100" w:type="dxa"/>
            </w:tcMar>
          </w:tcPr>
          <w:p w14:paraId="019BCA2E" w14:textId="0DD5CACE" w:rsidR="00523AAC" w:rsidRDefault="00523AAC" w:rsidP="00523AAC">
            <w:pPr>
              <w:widowControl w:val="0"/>
              <w:pBdr>
                <w:top w:val="nil"/>
                <w:left w:val="nil"/>
                <w:bottom w:val="nil"/>
                <w:right w:val="nil"/>
                <w:between w:val="nil"/>
              </w:pBdr>
              <w:spacing w:line="240" w:lineRule="auto"/>
              <w:jc w:val="center"/>
              <w:rPr>
                <w:rFonts w:ascii="Poppins" w:eastAsia="Poppins" w:hAnsi="Poppins" w:cs="Poppins"/>
                <w:sz w:val="20"/>
                <w:szCs w:val="20"/>
              </w:rPr>
            </w:pPr>
            <w:r>
              <w:rPr>
                <w:rFonts w:ascii="Poppins" w:eastAsia="Poppins" w:hAnsi="Poppins" w:cs="Poppins"/>
                <w:sz w:val="20"/>
                <w:szCs w:val="20"/>
              </w:rPr>
              <w:t>Data analysis conversations</w:t>
            </w:r>
          </w:p>
        </w:tc>
        <w:tc>
          <w:tcPr>
            <w:tcW w:w="4350" w:type="dxa"/>
            <w:shd w:val="clear" w:color="auto" w:fill="auto"/>
            <w:tcMar>
              <w:top w:w="100" w:type="dxa"/>
              <w:left w:w="100" w:type="dxa"/>
              <w:bottom w:w="100" w:type="dxa"/>
              <w:right w:w="100" w:type="dxa"/>
            </w:tcMar>
          </w:tcPr>
          <w:p w14:paraId="50A7F2D8" w14:textId="27EF466A" w:rsidR="00523AAC" w:rsidRDefault="00B54115" w:rsidP="00523AAC">
            <w:pPr>
              <w:widowControl w:val="0"/>
              <w:pBdr>
                <w:top w:val="nil"/>
                <w:left w:val="nil"/>
                <w:bottom w:val="nil"/>
                <w:right w:val="nil"/>
                <w:between w:val="nil"/>
              </w:pBdr>
              <w:spacing w:line="240" w:lineRule="auto"/>
              <w:rPr>
                <w:rFonts w:ascii="Poppins" w:eastAsia="Poppins" w:hAnsi="Poppins" w:cs="Poppins"/>
                <w:sz w:val="20"/>
                <w:szCs w:val="20"/>
              </w:rPr>
            </w:pPr>
            <w:r>
              <w:rPr>
                <w:rFonts w:ascii="Poppins" w:eastAsia="Poppins" w:hAnsi="Poppins" w:cs="Poppins"/>
                <w:sz w:val="20"/>
                <w:szCs w:val="20"/>
              </w:rPr>
              <w:t>Through quarterly data analysis sessions where MGT coaches addressed student performance data and implementation data, teachers and school leaders had the chance to reflect on instructional practice and the current state of student learning. O</w:t>
            </w:r>
            <w:r w:rsidRPr="00B54115">
              <w:rPr>
                <w:rFonts w:ascii="Poppins" w:eastAsia="Poppins" w:hAnsi="Poppins" w:cs="Poppins"/>
                <w:sz w:val="20"/>
                <w:szCs w:val="20"/>
              </w:rPr>
              <w:t>ngoing coaching and support provided opportunities for educators to reflect on their practice, identify areas for growth, and collaboratively problem-solve with colleagues.</w:t>
            </w:r>
          </w:p>
        </w:tc>
      </w:tr>
    </w:tbl>
    <w:p w14:paraId="1F0A4D91" w14:textId="77777777" w:rsidR="00753D93" w:rsidRDefault="00753D93">
      <w:pPr>
        <w:spacing w:line="240" w:lineRule="auto"/>
        <w:rPr>
          <w:rFonts w:ascii="Poppins" w:eastAsia="Poppins" w:hAnsi="Poppins" w:cs="Poppins"/>
          <w:sz w:val="20"/>
          <w:szCs w:val="20"/>
        </w:rPr>
      </w:pPr>
    </w:p>
    <w:p w14:paraId="694E7C0E" w14:textId="77777777" w:rsidR="00753D93" w:rsidRDefault="00753D93">
      <w:pPr>
        <w:spacing w:line="240" w:lineRule="auto"/>
        <w:jc w:val="center"/>
        <w:rPr>
          <w:rFonts w:ascii="Poppins" w:eastAsia="Poppins" w:hAnsi="Poppins" w:cs="Poppins"/>
          <w:sz w:val="20"/>
          <w:szCs w:val="20"/>
        </w:rPr>
      </w:pPr>
    </w:p>
    <w:p w14:paraId="02FA10C3" w14:textId="77777777" w:rsidR="00753D93" w:rsidRDefault="00753D93">
      <w:pPr>
        <w:spacing w:line="240" w:lineRule="auto"/>
        <w:rPr>
          <w:rFonts w:ascii="Poppins" w:eastAsia="Poppins" w:hAnsi="Poppins" w:cs="Poppins"/>
          <w:sz w:val="20"/>
          <w:szCs w:val="20"/>
        </w:rPr>
      </w:pPr>
    </w:p>
    <w:sectPr w:rsidR="00753D93">
      <w:headerReference w:type="default" r:id="rId9"/>
      <w:footerReference w:type="default" r:id="rId1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0EFA4" w14:textId="77777777" w:rsidR="0052319C" w:rsidRDefault="0052319C">
      <w:pPr>
        <w:spacing w:line="240" w:lineRule="auto"/>
      </w:pPr>
      <w:r>
        <w:separator/>
      </w:r>
    </w:p>
  </w:endnote>
  <w:endnote w:type="continuationSeparator" w:id="0">
    <w:p w14:paraId="1F68EFE6" w14:textId="77777777" w:rsidR="0052319C" w:rsidRDefault="00523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0AE83D5D-C2F5-4520-8F96-53947ECE4B2C}"/>
    <w:embedBold r:id="rId2" w:fontKey="{1A7AE3CF-E9DA-43D1-85D2-EE13FB59B55B}"/>
    <w:embedItalic r:id="rId3" w:fontKey="{F83428C1-1F69-4681-9BF9-1B765DAC8117}"/>
  </w:font>
  <w:font w:name="Poppins SemiBold">
    <w:charset w:val="00"/>
    <w:family w:val="auto"/>
    <w:pitch w:val="variable"/>
    <w:sig w:usb0="00008007" w:usb1="00000000" w:usb2="00000000" w:usb3="00000000" w:csb0="00000093" w:csb1="00000000"/>
    <w:embedRegular r:id="rId4" w:fontKey="{5C8664E9-FA82-41F9-BEE8-A2CDE1E8B9ED}"/>
  </w:font>
  <w:font w:name="Calibri">
    <w:panose1 w:val="020F0502020204030204"/>
    <w:charset w:val="00"/>
    <w:family w:val="swiss"/>
    <w:pitch w:val="variable"/>
    <w:sig w:usb0="E4002EFF" w:usb1="C200247B" w:usb2="00000009" w:usb3="00000000" w:csb0="000001FF" w:csb1="00000000"/>
    <w:embedRegular r:id="rId5" w:fontKey="{400AC177-3D83-426B-ADF5-2FEC647744DA}"/>
  </w:font>
  <w:font w:name="Cambria">
    <w:panose1 w:val="02040503050406030204"/>
    <w:charset w:val="00"/>
    <w:family w:val="roman"/>
    <w:pitch w:val="variable"/>
    <w:sig w:usb0="E00006FF" w:usb1="420024FF" w:usb2="02000000" w:usb3="00000000" w:csb0="0000019F" w:csb1="00000000"/>
    <w:embedRegular r:id="rId6" w:fontKey="{ECAC9C6C-D93F-4BFC-B2E8-6C4C62F10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4E4B" w14:textId="77777777" w:rsidR="00753D93" w:rsidRDefault="0052319C">
    <w:r>
      <w:rPr>
        <w:noProof/>
      </w:rPr>
      <w:drawing>
        <wp:anchor distT="114300" distB="114300" distL="114300" distR="114300" simplePos="0" relativeHeight="251658240" behindDoc="0" locked="0" layoutInCell="1" hidden="0" allowOverlap="1" wp14:anchorId="172BEDAA" wp14:editId="0B49585F">
          <wp:simplePos x="0" y="0"/>
          <wp:positionH relativeFrom="column">
            <wp:posOffset>114300</wp:posOffset>
          </wp:positionH>
          <wp:positionV relativeFrom="paragraph">
            <wp:posOffset>114300</wp:posOffset>
          </wp:positionV>
          <wp:extent cx="646804" cy="24765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6804"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97B4D" w14:textId="77777777" w:rsidR="0052319C" w:rsidRDefault="0052319C">
      <w:pPr>
        <w:spacing w:line="240" w:lineRule="auto"/>
      </w:pPr>
      <w:r>
        <w:separator/>
      </w:r>
    </w:p>
  </w:footnote>
  <w:footnote w:type="continuationSeparator" w:id="0">
    <w:p w14:paraId="444D5066" w14:textId="77777777" w:rsidR="0052319C" w:rsidRDefault="0052319C">
      <w:pPr>
        <w:spacing w:line="240" w:lineRule="auto"/>
      </w:pPr>
      <w:r>
        <w:continuationSeparator/>
      </w:r>
    </w:p>
  </w:footnote>
  <w:footnote w:id="1">
    <w:p w14:paraId="17CFDE2D" w14:textId="77777777" w:rsidR="00753D93" w:rsidRDefault="0052319C">
      <w:pPr>
        <w:spacing w:line="240" w:lineRule="auto"/>
        <w:rPr>
          <w:rFonts w:ascii="Poppins" w:eastAsia="Poppins" w:hAnsi="Poppins" w:cs="Poppins"/>
          <w:sz w:val="20"/>
          <w:szCs w:val="20"/>
        </w:rPr>
      </w:pPr>
      <w:r>
        <w:rPr>
          <w:vertAlign w:val="superscript"/>
        </w:rPr>
        <w:footnoteRef/>
      </w:r>
      <w:r>
        <w:rPr>
          <w:rFonts w:ascii="Poppins" w:eastAsia="Poppins" w:hAnsi="Poppins" w:cs="Poppins"/>
          <w:sz w:val="20"/>
          <w:szCs w:val="20"/>
        </w:rPr>
        <w:t xml:space="preserve"> Includes any travel related expenses,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6795" w14:textId="4850A62F" w:rsidR="007438C8" w:rsidRDefault="007438C8">
    <w:pPr>
      <w:pStyle w:val="Header"/>
    </w:pPr>
    <w:r>
      <w:rPr>
        <w:rFonts w:ascii="Poppins" w:eastAsia="Poppins" w:hAnsi="Poppins" w:cs="Poppins"/>
        <w:b/>
        <w:noProof/>
        <w:sz w:val="24"/>
        <w:szCs w:val="24"/>
      </w:rPr>
      <w:drawing>
        <wp:inline distT="0" distB="0" distL="0" distR="0" wp14:anchorId="590432FD" wp14:editId="03D3A3D3">
          <wp:extent cx="906780" cy="397165"/>
          <wp:effectExtent l="0" t="0" r="7620" b="3175"/>
          <wp:docPr id="84089895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8956" name="Pictur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8718" cy="4023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F404FD"/>
    <w:multiLevelType w:val="multilevel"/>
    <w:tmpl w:val="02DE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0378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D93"/>
    <w:rsid w:val="000E1975"/>
    <w:rsid w:val="00355459"/>
    <w:rsid w:val="0052319C"/>
    <w:rsid w:val="00523AAC"/>
    <w:rsid w:val="007438C8"/>
    <w:rsid w:val="00753D93"/>
    <w:rsid w:val="007A1B69"/>
    <w:rsid w:val="00A07B1B"/>
    <w:rsid w:val="00A86307"/>
    <w:rsid w:val="00B5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60FB"/>
  <w15:docId w15:val="{B8530A52-548E-4319-9D1D-FDFBE0A1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438C8"/>
    <w:pPr>
      <w:tabs>
        <w:tab w:val="center" w:pos="4680"/>
        <w:tab w:val="right" w:pos="9360"/>
      </w:tabs>
      <w:spacing w:line="240" w:lineRule="auto"/>
    </w:pPr>
  </w:style>
  <w:style w:type="character" w:customStyle="1" w:styleId="HeaderChar">
    <w:name w:val="Header Char"/>
    <w:basedOn w:val="DefaultParagraphFont"/>
    <w:link w:val="Header"/>
    <w:uiPriority w:val="99"/>
    <w:rsid w:val="007438C8"/>
  </w:style>
  <w:style w:type="paragraph" w:styleId="Footer">
    <w:name w:val="footer"/>
    <w:basedOn w:val="Normal"/>
    <w:link w:val="FooterChar"/>
    <w:uiPriority w:val="99"/>
    <w:unhideWhenUsed/>
    <w:rsid w:val="007438C8"/>
    <w:pPr>
      <w:tabs>
        <w:tab w:val="center" w:pos="4680"/>
        <w:tab w:val="right" w:pos="9360"/>
      </w:tabs>
      <w:spacing w:line="240" w:lineRule="auto"/>
    </w:pPr>
  </w:style>
  <w:style w:type="character" w:customStyle="1" w:styleId="FooterChar">
    <w:name w:val="Footer Char"/>
    <w:basedOn w:val="DefaultParagraphFont"/>
    <w:link w:val="Footer"/>
    <w:uiPriority w:val="99"/>
    <w:rsid w:val="00743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7310F-56BF-4EE1-801A-69698700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Arcadia Payne</dc:creator>
  <cp:lastModifiedBy>Arcadia Payne</cp:lastModifiedBy>
  <cp:revision>6</cp:revision>
  <dcterms:created xsi:type="dcterms:W3CDTF">2025-02-07T16:54:00Z</dcterms:created>
  <dcterms:modified xsi:type="dcterms:W3CDTF">2025-02-12T23:57:00Z</dcterms:modified>
</cp:coreProperties>
</file>